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703580</wp:posOffset>
                </wp:positionV>
                <wp:extent cx="2648585" cy="2165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858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O‘ZBEKISTON RESPUBLIKASI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09999999999999pt;margin-top:55.399999999999999pt;width:208.55000000000001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O‘ZBEKISTON RESPUBLIKASI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4018280</wp:posOffset>
            </wp:positionH>
            <wp:positionV relativeFrom="paragraph">
              <wp:posOffset>12700</wp:posOffset>
            </wp:positionV>
            <wp:extent cx="3437890" cy="2206625"/>
            <wp:wrapTight wrapText="bothSides">
              <wp:wrapPolygon>
                <wp:start x="0" y="0"/>
                <wp:lineTo x="21600" y="0"/>
                <wp:lineTo x="21600" y="21600"/>
                <wp:lineTo x="18914" y="21600"/>
                <wp:lineTo x="18914" y="15796"/>
                <wp:lineTo x="13505" y="15796"/>
                <wp:lineTo x="13505" y="13104"/>
                <wp:lineTo x="12565" y="13104"/>
                <wp:lineTo x="12565" y="10112"/>
                <wp:lineTo x="6407" y="10112"/>
                <wp:lineTo x="6407" y="4517"/>
                <wp:lineTo x="0" y="4517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37890" cy="2206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55600" distB="0" distL="114300" distR="114300" simplePos="0" relativeHeight="125829381" behindDoc="0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3178175</wp:posOffset>
            </wp:positionV>
            <wp:extent cx="5992495" cy="109728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92495" cy="1097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OLIY TA’LIM, FAN VA INNOVATSIYALAR VAZIRLIGI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NAMANGAN MUHANDISLIK-TEXNOLOGIYAINSTITUTI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O‘ZBEKISTON MILLIY UNIVERSITETIKIMYO FAKULTETI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TOSHKENT KIMYO-TEXNOLOGIYAINSTITUTI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TOSHKENT DAVLAT TEXNIKA UNIVERSITETI OLMALIQ FILIALI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0" w:right="431" w:bottom="1145" w:left="1395" w:header="0" w:footer="71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>O‘ZRFA UMUMIY VA NOORGANIK KIMYO INSTITUTI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KIMYO FANINING MUAMMOLARI, SANOAT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SOHALARIGA TATBIQIVA YASHIL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TEXNOLOGIYALAR MAVZUSIDAGIXALQARO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ANJUMAN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(18-19 aprel 2025 yil)</w:t>
      </w:r>
    </w:p>
    <w:p>
      <w:pPr>
        <w:widowControl w:val="0"/>
        <w:spacing w:line="1" w:lineRule="exact"/>
      </w:pPr>
      <w:r>
        <w:drawing>
          <wp:anchor distT="254000" distB="0" distL="0" distR="0" simplePos="0" relativeHeight="125829382" behindDoc="0" locked="0" layoutInCell="1" allowOverlap="1">
            <wp:simplePos x="0" y="0"/>
            <wp:positionH relativeFrom="page">
              <wp:posOffset>1233805</wp:posOffset>
            </wp:positionH>
            <wp:positionV relativeFrom="paragraph">
              <wp:posOffset>254000</wp:posOffset>
            </wp:positionV>
            <wp:extent cx="2109470" cy="206057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09470" cy="2060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49935" distB="140970" distL="0" distR="0" simplePos="0" relativeHeight="125829383" behindDoc="0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749935</wp:posOffset>
                </wp:positionV>
                <wp:extent cx="3046730" cy="14211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6730" cy="142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RIALLAR</w:t>
                              <w:br/>
                              <w:t>PLAMI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50.75pt;margin-top:59.050000000000004pt;width:239.90000000000001pt;height:111.90000000000001pt;z-index:-125829370;mso-wrap-distance-left:0;mso-wrap-distance-top:59.050000000000004pt;mso-wrap-distance-right:0;mso-wrap-distance-bottom:11.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RIALLAR</w:t>
                        <w:br/>
                        <w:t>PLAMI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ISBN: 978-9910-695-76-6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NAMANGAN</w:t>
      </w:r>
      <w:r>
        <w:br w:type="page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76200</wp:posOffset>
                </wp:positionV>
                <wp:extent cx="814070" cy="20447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</w:rPr>
                              <w:t>6-SHO‘BA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9.049999999999997pt;margin-top:6.pt;width:64.099999999999994pt;height:16.10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</w:rPr>
                        <w:t>6-SHO‘BA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</w:rPr>
        <w:t>KIMYO FANLARINI O‘QITISHNING NAZARIYASI VA</w:t>
      </w:r>
      <w:bookmarkEnd w:id="4"/>
    </w:p>
    <w:p>
      <w:pPr>
        <w:pStyle w:val="Style11"/>
        <w:keepNext/>
        <w:keepLines/>
        <w:widowControl w:val="0"/>
        <w:shd w:val="clear" w:color="auto" w:fill="auto"/>
        <w:tabs>
          <w:tab w:leader="underscore" w:pos="3156" w:val="left"/>
          <w:tab w:leader="underscore" w:pos="7178" w:val="left"/>
        </w:tabs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</w:rPr>
        <w:t>METODLARI</w:t>
      </w:r>
      <w:r>
        <w:rPr>
          <w:color w:val="000000"/>
          <w:spacing w:val="0"/>
          <w:w w:val="100"/>
          <w:position w:val="0"/>
          <w:shd w:val="clear" w:color="auto" w:fill="auto"/>
        </w:rPr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80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“Kimyo fanining muammolari, sanoat sohalariga L</w:t>
        <w:br/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0" w:line="262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O’zbekiston Respublikasi Prezidentining Farmoni. O’zbekiston Respublikasi Xalq ta’limi</w:t>
        <w:br/>
        <w:t>tizimini 2030 yilgacha rivojlantirish konsepsiyasini tasdiqlash to’g’risida (Qonun hujjatlari</w:t>
        <w:br/>
        <w:t>ma’lumotlari milliy bazasi, 29.04.2019 y., 06/19/5712/3034-son).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60" w:line="262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Murodqosimova Shodiya, Tangriyev Xurram Ergashevich.</w:t>
        <w:br/>
        <w:t>“TA’LIM JARAYONLARIDA VIDEODARSLAR YARATISH TEXNOLOGIYASI VA</w:t>
        <w:br/>
        <w:t>ULARNING AHAMIYATI”.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МЕТОДИКА ИСПОЛЬЗОВАНИЯ МЕТОДА «ДИАГРАММА ВЕННА» ПРИ</w:t>
        <w:br/>
        <w:t>ОРГАНИЗАЦИИ ЭЛЕКТИВНБ1Х КУРСОВ ПО ХИМИИ В ОБ1ЦЕЙ СРЕДНЕЙ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ШКОЛЕ.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Тоджалиева Раьно Тохир кизи, Хасанова Наргиза Исмагиловна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Чирчикского государстпвенного педагогического универсигпетпа, Ташкент, Республики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Узбекистан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uz-UZ" w:eastAsia="uz-UZ" w:bidi="uz-UZ"/>
        </w:rPr>
        <w:t xml:space="preserve">Аннотация: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Статъя посвяъцена разработки элективньгх курсов по химии для</w:t>
        <w:br/>
        <w:t>профильного обучения. В докладе рассматриваются основньге цели и содержание обучения</w:t>
        <w:br/>
        <w:t xml:space="preserve">химии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профилънъгх классах, назначение и функции элективньгх курсов.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uz-UZ" w:eastAsia="uz-UZ" w:bidi="uz-UZ"/>
        </w:rPr>
        <w:t xml:space="preserve">Ключевьге слова: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Интеграция, диаграмма венна, химия, элективного курса «Химия</w:t>
        <w:br/>
        <w:t>вокруг нас».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METHODOLOGY FOR USING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ТНЕ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«VENN DIAGRAM” METOD IN THE</w:t>
        <w:br/>
        <w:t>ORGANIZATION OF ELECTIVE CHEMISTRY COURSES IN GENERAL SECONDARY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SCHOOL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Raykno Tokhir kizi Todjalieva, Nargiza Ismagilovna Khasanova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Chirchik State Pedagogical University, Tashkent, Republic of Uzbekistan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uz-UZ" w:eastAsia="uz-UZ" w:bidi="uz-UZ"/>
        </w:rPr>
        <w:t xml:space="preserve">Abstract: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This article focuses on the development of elective chemistry courses for specialized</w:t>
        <w:br/>
        <w:t>education. The paper discusses the main goals and content of chemistry education in specialized</w:t>
        <w:br/>
        <w:t>classes, as well as the purpose and functions of elective courses.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60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uz-UZ" w:eastAsia="uz-UZ" w:bidi="uz-UZ"/>
        </w:rPr>
        <w:t xml:space="preserve">Keywords: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Integration, Venn diagram, chemistry, elective course "Chemistry Around Us."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Введение.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Одним из направлений модернизации современного образования является</w:t>
        <w:br/>
        <w:t>переход к профильному обучению в старшей школе. Необходиммм условием для этого</w:t>
        <w:br/>
        <w:t>является введение предпрфильной подготовки , т,е, элективньгх курсов.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«Стратегия развития нового Узбекистана на 2022-2026 годн» и другие нормативнне</w:t>
        <w:br/>
        <w:t>документм указмвают на необходимость и важность внесения срочнмх изменений в систему</w:t>
        <w:br/>
        <w:t>биологического и биотехнологического образования Республики Узбекистан.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Концепции профильного обучения на старшей ступени обшего образования</w:t>
        <w:br/>
        <w:t>предусматривает в качестве одного из важнейших направлений предпрофильную подготовку</w:t>
        <w:br/>
        <w:t>учашцхся основной школн и профильное обучение на старшей ступени обтцего образования.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Методология.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Ключевмм элементом профилизации школм призвана стать система</w:t>
        <w:br/>
        <w:t>элективннх курсов для учагцихся 9-11 классов[1]. Одна из главннх целей профильного</w:t>
        <w:br/>
        <w:t>обучения - это подготовка школьников к поступлению в вуз. В связи с этим важна профильная</w:t>
        <w:br/>
        <w:t>подготовка учатцихся 10-х, 11-х классов.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Обучение химии в профильнмх классах ставит следуюшце цели: - изучение основ</w:t>
        <w:br/>
        <w:t>химии - важнейших понятий, законов, теорий и методов химической науки во взаимосвязи с</w:t>
        <w:br/>
        <w:t>профильнмми предметами; - формирование у учагцихся целостной системм химических</w:t>
        <w:br/>
        <w:t>знаний как компонента единой естественно-научной картинм мира; - развитие ммшления</w:t>
        <w:br/>
        <w:t>учатцихся, формирование умений самостоятельно при обретать и комплексно применять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5" w:right="586" w:bottom="707" w:left="1238" w:header="0" w:footer="27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1905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5016" w:val="left"/>
          <w:tab w:leader="underscore" w:pos="9038" w:val="left"/>
        </w:tabs>
        <w:bidi w:val="0"/>
        <w:spacing w:before="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4627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знания по химии для объяснения наблюдаеммх явлений и закономерностей; - формирование</w:t>
        <w:br/>
        <w:t>познавательного интереса к химии как к одной из естественнмх наук, развитие творческих</w:t>
        <w:br/>
        <w:t>способностей учашихся и осо знанннх мотивов к изучению химии. Важнейшим средством</w:t>
        <w:br/>
        <w:t>практической реализации дифференциации образователь ннх стандартов является Базиснмй</w:t>
        <w:br/>
        <w:t>учебнмй план (БУП) школм. Даннмй документ опре деляет цели и содержание обучения,</w:t>
        <w:br/>
        <w:t>организацию учебного процесса, технологию обу чения, состав педагогических кадров и</w:t>
        <w:br/>
        <w:t>нагрузку учителей [2]. Элективнме курсм - обязательнме курсм по вмбору учагцихся. Число</w:t>
        <w:br/>
        <w:t>электив нмх курсов, которое должна предложить школа учагцимся, должно превмшать то их</w:t>
        <w:br/>
        <w:t>количество, которое обязан вмбрать школьник в соответствии с учебнмм планом каж дого</w:t>
        <w:br/>
        <w:t>профиля. Основное назначение элективнмх курсов состоит в том, чтобм более полно</w:t>
        <w:br/>
        <w:t>удовлетворять индивидуальнме потребности и познавательнме интересн стар шеклассников,</w:t>
        <w:br/>
        <w:t>стать одним из главннх средств построения индивидуальннх образова тельньгх программ [3].</w:t>
        <w:br/>
        <w:t>Сегодня многие педагоги, методистьт и учителя-практики занимаются созданием различнмх</w:t>
        <w:br/>
        <w:t>элективннх курсов для подготовки учашихся. Классификация элективннх курсов, как и любая</w:t>
        <w:br/>
        <w:t>классификация, является относительной, но большинство авторов вмделяют следуюгцие типм</w:t>
        <w:br/>
        <w:t>элективнмх курсов в профильной школе . Базиснмм планом рекомендуется проводить</w:t>
        <w:br/>
        <w:t>профильное обучение по следую шим десяти профилям: физико-математическому,</w:t>
        <w:br/>
        <w:t>естественнонаучному, социально экономическому, гуманитарному, филологическому,</w:t>
        <w:br/>
        <w:t>информационно-технологическому,</w:t>
        <w:tab/>
        <w:t>агро-технологическому, индустриально-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технологическому, художественно-эстетическому, оборонно-спортивному. Министерство</w:t>
        <w:br/>
        <w:t>образования рекомендует примернмй перечень профильннх учеб нмх дисциплин, но не менее</w:t>
        <w:br/>
        <w:t>двух для каждого профиля, например, историю и литера туру для гуманитарного профиля,</w:t>
        <w:br/>
        <w:t>математику и физику - для физико-математического и т.д. Профильнме обшеобразовательнме</w:t>
        <w:br/>
        <w:t>предметм - это предметм повмшенного уровня, определяюгцие направленность каждого</w:t>
        <w:br/>
        <w:t>конкретного профиля обучения, являюшиеся обязательнмми для учашихся, вмбравших</w:t>
        <w:br/>
        <w:t>даннмй профиль обучения. Элективнме курсм, как бнло отмечено вмше, могут вьшолнять</w:t>
        <w:br/>
        <w:t>несколько функций: - поддерживать предметьт, изучаемме на профильном уровне; -</w:t>
        <w:br/>
        <w:t>поддерживать предме тн, изучаемме на обшеобразовательном уровне; - удовлетворятъ</w:t>
        <w:br/>
        <w:t>разнообразнме позна вательнме интересм школьников, вьгходягцих за рамки вмбранного им</w:t>
        <w:br/>
        <w:t>профиля; - под держивать предметм, входяшие в базиснмй учебнмй план. Учебнмм планом</w:t>
        <w:br/>
        <w:t>профильного обучения предусматривается, что в 10 и 11 классах школьники смогут изучить</w:t>
        <w:br/>
        <w:t>менее трех элективнмх курсов ежегодно.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Курсм про фильного обучения могут вьшолнять несколько функций: - дополнять</w:t>
        <w:br/>
        <w:t>содержание про фильного курса, бмть его «надстройкой», позволяя этому профильному курсу</w:t>
        <w:br/>
        <w:t>стать понастояшему углубленннм; - развивать содержание одного из базовмх курсов,</w:t>
        <w:br/>
        <w:t>изучение которого в данной школе осушествляется на минимальном обгцеобразовательном</w:t>
        <w:br/>
        <w:t>уровне, позволяя поддерживать изучение смежньтх учебнмх предметов на профильном</w:t>
        <w:br/>
        <w:t>уровне; - удовлетворять разнообразнме познавательнме интересм школьников, вмходяшие за</w:t>
        <w:br/>
        <w:t>рамки вмбранного ими профиля. Первмй вопрос, с которого начинается разработка программ</w:t>
        <w:br/>
        <w:t>- это определение ее содержания. Источники для проектирования содержания образования:</w:t>
        <w:br/>
        <w:t>научнме знания, наиболее ценнмй опьгг практической деятельности человека, требования,</w:t>
        <w:br/>
        <w:t>задаваемне той системой, для которой она непосредственно разрабатнвается (к ним относятся</w:t>
        <w:br/>
        <w:t>образова тельнне цели и исходннй уровень подготовки обучаютцихся).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В настоятцее время необходимо эффективно использовать новме методм преподавания.</w:t>
        <w:br/>
        <w:t>Особенно важно разрабатнвать методику эффективного применения интерактивнмх методов.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865" w:right="1071" w:bottom="1167" w:left="11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В настоятцее время метод Венн-диаграммн является очень результативньш, так как</w:t>
        <w:br/>
        <w:t>способствует укреплению знаний учатцихся, свободному вьгражению их мнслей и развитию</w:t>
        <w:br/>
        <w:t>навмков рассуждения.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5016" w:val="left"/>
          <w:tab w:leader="underscore" w:pos="9038" w:val="left"/>
        </w:tabs>
        <w:bidi w:val="0"/>
        <w:spacing w:before="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Диаграмма Венна (также используется название диаграмма Эйлера — Венна) —</w:t>
        <w:br/>
        <w:t>схематичное изображение всех возможнмх отношений (объединение, пересечение, разность,</w:t>
        <w:br/>
        <w:t>симметрическая разность) нескольких (часто — трёх) подмножеств универсального</w:t>
        <w:br/>
        <w:t>множества. На диаграммах Венна универсальноеНа диаграммах Венна универсальное</w:t>
        <w:br/>
        <w:t>множество изображается множеством точек некоторого прямоугольника, в котором</w:t>
        <w:br/>
        <w:t>располагаются в виде кругов или других простмх фигур все остальнме рассматриваемне</w:t>
        <w:br/>
        <w:t>множестваДиаграммм Венна применяются при решении задач вьшода логических следствий</w:t>
        <w:br/>
        <w:t>из посмлок, вмражаеммх на язьже формул классического исчисления вмсказмваний и</w:t>
        <w:br/>
        <w:t>классического исчисления одноместньтх предикатов[3], дляюписания функционирования</w:t>
        <w:br/>
        <w:t>формальньтх нейронов Мак-Каллока и сетей из них[4];синтеза надежнмх сетей из не вполне</w:t>
        <w:br/>
        <w:t>надежнмх элементов[5];построения управляютцих и самоуправляютцихся систем и блочного</w:t>
        <w:br/>
        <w:t>анализа и синтеза сложньгх устройств[6];получения логических следствий из заданной</w:t>
        <w:br/>
        <w:t>информации, минимизации формул исчисленийНа диаграммах Венна можно с помошцю</w:t>
        <w:br/>
        <w:t>перекрнваюшцхся кругов продемонстрировать сходство, различия и связи между понятиями,</w:t>
        <w:br/>
        <w:t>идеями, категориями или группами. Сходство между группами представлено</w:t>
        <w:br/>
        <w:t>перекрнваюшцмися частями кругов, а различия — неперекрмваюгцимся. 1 Каждая большая</w:t>
        <w:br/>
        <w:t>группа представлена одним из кругов.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Примерн использования данного метода на уроках химии по теме «Биологическое</w:t>
        <w:br/>
        <w:t>значение металлов»: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Железо (Ғе)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играет важную роль в организме человека. Оно входит в состав</w:t>
        <w:br/>
        <w:t xml:space="preserve">гемоглобина крови и вьшолняет жизненно важнме функции. Соединения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Fe(II)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Fe(III)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применяются при лечении анемии, связанной с дефицитом железа. В таких случаях</w:t>
        <w:br/>
        <w:t xml:space="preserve">используются следукнцие соединения железа: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сульфат железа(П)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FeSO-rVHiO,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глицерофосфат железа(Ш), лактат железа(П), аскорбинат железа(П).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Препаратм железа вмпускаются в форме порошков, таблеток и пилюль. Кроме того,</w:t>
        <w:br/>
        <w:t>соли железа применяются для проверки подлинности лекарственннх средств.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Марганец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(Mn)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в составе перманганата калия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(KMnCh)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является сильнмм</w:t>
        <w:br/>
        <w:t>антисептиком, котормй используется для дезинфекции ран и лечения различнмх кожнмх</w:t>
        <w:br/>
        <w:t xml:space="preserve">заболеваний. Также раствор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KMnO4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применяется при проммвании желудка при отравлениях,</w:t>
        <w:br/>
        <w:t>для проверки подлинности лекарственнмх вшцеств и количественного анализа.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Магний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(Mg)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играет важную роль в функционировании центральной нервной системн</w:t>
        <w:br/>
        <w:t>у человека и животнмх, а также в различнмх биохимических реакциях организма. В медицине</w:t>
        <w:br/>
        <w:t xml:space="preserve">широко применяются соединения магния: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оксид магния, карбонат магния, сульфат</w:t>
        <w:br/>
        <w:t>магния.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  <w:sectPr>
          <w:headerReference w:type="default" r:id="rId13"/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865" w:right="1071" w:bottom="1167" w:left="110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Висмут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(Bi)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в виде дихидроксинитрата висмута (В1(ОН)гМОз) используется в медицине</w:t>
        <w:br/>
        <w:t>как вяжугцее и антисептическое средство для лечения заболеваний желудка и кишечника.</w:t>
        <w:br/>
        <w:t>Информация о биологическом значении металлов может бмть использована для построения</w:t>
        <w:br/>
        <w:t>диаграммм Венна. Этот метод позволяет учагцимся глубже изучать сходства и различия между</w:t>
        <w:br/>
        <w:t>различнмми металлами и их соединениями.</w:t>
      </w:r>
    </w:p>
    <w:p>
      <w:pPr>
        <w:widowControl w:val="0"/>
        <w:spacing w:line="1" w:lineRule="exact"/>
      </w:pPr>
      <w:r>
        <w:drawing>
          <wp:anchor distT="0" distB="114300" distL="0" distR="925195" simplePos="0" relativeHeight="125829387" behindDoc="0" locked="0" layoutInCell="1" allowOverlap="1">
            <wp:simplePos x="0" y="0"/>
            <wp:positionH relativeFrom="page">
              <wp:posOffset>1607185</wp:posOffset>
            </wp:positionH>
            <wp:positionV relativeFrom="paragraph">
              <wp:posOffset>763270</wp:posOffset>
            </wp:positionV>
            <wp:extent cx="2042160" cy="3425825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042160" cy="3425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2040255</wp:posOffset>
                </wp:positionH>
                <wp:positionV relativeFrom="paragraph">
                  <wp:posOffset>3362960</wp:posOffset>
                </wp:positionV>
                <wp:extent cx="1510030" cy="484505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003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3. Mn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.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+2NaOH=Mn(OH)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|+NaSO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+(NH4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)2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Cl=MnSl+(NH4)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+2NaOH=MnO(OH)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J+Na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  <w:br/>
                              <w:t>2MnSO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+16HNO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+5NaBiO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=2HMNO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+5Bi(NO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NaNO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+7H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60.65000000000001pt;margin-top:264.80000000000001pt;width:118.90000000000001pt;height:38.1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3. Mn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2+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.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+2NaOH=Mn(OH)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|+NaSO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+(NH4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)2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Cl=MnSl+(NH4)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+2NaOH=MnO(OH)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J+Na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  <w:br/>
                        <w:t>2MnSO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+16HNO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+5NaBiO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=2HMNO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+5Bi(NO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NaNO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+7H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3033395</wp:posOffset>
                </wp:positionH>
                <wp:positionV relativeFrom="paragraph">
                  <wp:posOffset>1071245</wp:posOffset>
                </wp:positionV>
                <wp:extent cx="1537970" cy="78613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7970" cy="786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2. Ғе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uz-UZ" w:eastAsia="uz-UZ" w:bidi="uz-UZ"/>
                              </w:rPr>
                              <w:t>3+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+3NaOH=;Fe(OH)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 xml:space="preserve">+ 3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NaCl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4FeCl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+3K4[Fe(CN)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]= j Fe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[Fe(CN)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+ 12KC1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ҒеС1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uz-UZ" w:eastAsia="uz-UZ" w:bidi="uz-UZ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 SNH^SCN^ Fe(SCN)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+3NH4C1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2ҒеС1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uz-UZ" w:eastAsia="uz-UZ" w:bidi="uz-UZ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+ 3(NH4)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S= Fe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 +6NH4CI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3. Mn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. 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+2NaOH=Mn(OH)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J.+NaSO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+(NH4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)2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Cl=MnS ;+(NH4)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+2NaOH=MnO(OH)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J+Na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  <w:br/>
                              <w:t>2MnSO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+16HNO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+5NaBiO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=2HMNO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+5Bi(NO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NaNO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+2NaSO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+7H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8.84999999999999pt;margin-top:84.350000000000009pt;width:121.10000000000001pt;height:61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2. Ғе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uz-UZ" w:eastAsia="uz-UZ" w:bidi="uz-UZ"/>
                        </w:rPr>
                        <w:t>3+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+3NaOH=;Fe(OH)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 xml:space="preserve">+ 3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NaCl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4FeCl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+3K4[Fe(CN)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]= j Fe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[Fe(CN)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]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+ 12KC1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ҒеС1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uz-UZ" w:eastAsia="uz-UZ" w:bidi="uz-UZ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 SNH^SCN^ Fe(SCN)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+3NH4C1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2ҒеС1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uz-UZ" w:eastAsia="uz-UZ" w:bidi="uz-UZ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+ 3(NH4)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S= Fe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 +6NH4CI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3. Mn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2+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. 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+2NaOH=Mn(OH)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J.+NaSO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+(NH4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)2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Cl=MnS ;+(NH4)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+2NaOH=MnO(OH)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J+Na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  <w:br/>
                        <w:t>2MnSO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+16HNO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+5NaBiO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=2HMNO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+5Bi(NO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NaNO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+2NaSO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+7H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414655" distR="0" simplePos="0" relativeHeight="125829388" behindDoc="0" locked="0" layoutInCell="1" allowOverlap="1">
            <wp:simplePos x="0" y="0"/>
            <wp:positionH relativeFrom="page">
              <wp:posOffset>3945255</wp:posOffset>
            </wp:positionH>
            <wp:positionV relativeFrom="paragraph">
              <wp:posOffset>763270</wp:posOffset>
            </wp:positionV>
            <wp:extent cx="2152015" cy="3425825"/>
            <wp:wrapTight wrapText="left">
              <wp:wrapPolygon>
                <wp:start x="0" y="0"/>
                <wp:lineTo x="21600" y="0"/>
                <wp:lineTo x="21600" y="21600"/>
                <wp:lineTo x="10080" y="21600"/>
                <wp:lineTo x="10080" y="20793"/>
                <wp:lineTo x="14951" y="20793"/>
                <wp:lineTo x="14951" y="16046"/>
                <wp:lineTo x="10080" y="16046"/>
                <wp:lineTo x="10080" y="16027"/>
                <wp:lineTo x="4259" y="16027"/>
                <wp:lineTo x="4259" y="12972"/>
                <wp:lineTo x="17433" y="12972"/>
                <wp:lineTo x="17433" y="6726"/>
                <wp:lineTo x="6649" y="6726"/>
                <wp:lineTo x="6649" y="1787"/>
                <wp:lineTo x="4259" y="1787"/>
                <wp:lineTo x="4259" y="711"/>
                <wp:lineTo x="0" y="711"/>
                <wp:lineTo x="0" y="0"/>
              </wp:wrapPolygon>
            </wp:wrapTight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152015" cy="3425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4744085</wp:posOffset>
                </wp:positionH>
                <wp:positionV relativeFrom="paragraph">
                  <wp:posOffset>2263140</wp:posOffset>
                </wp:positionV>
                <wp:extent cx="953770" cy="332105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3770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 xml:space="preserve">5.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Bi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.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BiCl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+3NaOH=Bi(OH)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J.+3NaCl</w:t>
                              <w:br/>
                              <w:t>2BiCl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S=Bi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J,+6NaCl</w:t>
                              <w:br/>
                              <w:t>BiCl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+3KI=BiI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|+3KCl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73.55000000000001pt;margin-top:178.20000000000002pt;width:75.100000000000009pt;height:26.150000000000002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 xml:space="preserve">5.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Bi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3+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.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BiCl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+3NaOH=Bi(OH)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J.+3NaCl</w:t>
                        <w:br/>
                        <w:t>2BiCl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S=Bi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J,+6NaCl</w:t>
                        <w:br/>
                        <w:t>BiCl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+3KI=BiI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|+3KCl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3905885</wp:posOffset>
                </wp:positionH>
                <wp:positionV relativeFrom="paragraph">
                  <wp:posOffset>3399790</wp:posOffset>
                </wp:positionV>
                <wp:extent cx="1545590" cy="408305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559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4. Mg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.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MgCl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+2KOH=Mg(OH)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|+2KCl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MgClz+Na^HPO^+NH^OH^MgNH^PO^NaCl+H^O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MgCl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+2HC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NO=Mg(C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J+2HCl</w:t>
                            </w:r>
                          </w:p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MgCl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O=(MgOH)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;+4NaCl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07.55000000000001pt;margin-top:267.69999999999999pt;width:121.7pt;height:32.14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4. Mg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2+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.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MgCl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+2KOH=Mg(OH)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|+2KCl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MgClz+Na^HPO^+NH^OH^MgNH^PO^NaCl+H^O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MgCl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+2HC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NO=Mg(C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J+2HCl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MgCl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O=(MgOH)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;+4NaCl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2009775</wp:posOffset>
                </wp:positionV>
                <wp:extent cx="862330" cy="255905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, 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2+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va 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+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катионм</w:t>
                              <w:br/>
                              <w:t>склоннм образовмвать</w:t>
                              <w:br/>
                              <w:t>комплекснме соединения.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78.pt;margin-top:158.25pt;width:67.900000000000006pt;height:20.150000000000002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Bi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3+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, Fe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2+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va Fe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3+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+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катионм</w:t>
                        <w:br/>
                        <w:t>склоннм образовмвать</w:t>
                        <w:br/>
                        <w:t>комплекснме соединения.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1875790</wp:posOffset>
                </wp:positionH>
                <wp:positionV relativeFrom="paragraph">
                  <wp:posOffset>1931035</wp:posOffset>
                </wp:positionV>
                <wp:extent cx="987425" cy="709930"/>
                <wp:wrapSquare wrapText="righ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7425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1 . Fe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2+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Fe^NaOH^j Fe(OH)+Na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+2HCI=FeCI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</w:t>
                              <w:br/>
                              <w:t>Fe(OH)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O+O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-&gt; 4Fe(OH)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[Fe(CN)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]=i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Fe[Fe(CN)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+3.K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+(NH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S-&gt;FeSJ,+(NH)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+2NH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+2H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O-&gt;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Fe(OH)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;+(NH4)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47.70000000000002pt;margin-top:152.05000000000001pt;width:77.75pt;height:55.899999999999999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1 . Fe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2+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Fe^NaOH^j Fe(OH)+Na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+2HCI=FeCI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</w:t>
                        <w:br/>
                        <w:t>Fe(OH)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O+O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-&gt; 4Fe(OH)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[Fe(CN)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]=i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Fe[Fe(CN)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]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+3.K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+(NH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S-&gt;FeSJ,+(NH)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+2NH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+2H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O-&gt;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Fe(OH)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;+(NH4)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SO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155575" distB="0" distL="114300" distR="114300" simplePos="0" relativeHeight="125829391" behindDoc="0" locked="0" layoutInCell="1" allowOverlap="1">
            <wp:simplePos x="0" y="0"/>
            <wp:positionH relativeFrom="page">
              <wp:posOffset>4554855</wp:posOffset>
            </wp:positionH>
            <wp:positionV relativeFrom="paragraph">
              <wp:posOffset>1964690</wp:posOffset>
            </wp:positionV>
            <wp:extent cx="755650" cy="255905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55650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4578985</wp:posOffset>
                </wp:positionH>
                <wp:positionV relativeFrom="paragraph">
                  <wp:posOffset>1809115</wp:posOffset>
                </wp:positionV>
                <wp:extent cx="676910" cy="173990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va 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</w:rPr>
                              <w:t>3+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соли легко</w:t>
                              <w:br/>
                              <w:t>гидролизуются.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60.55000000000001pt;margin-top:142.45000000000002pt;width:53.300000000000004pt;height:13.70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Fe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3+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va Bi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</w:rPr>
                        <w:t>3+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соли легко</w:t>
                        <w:br/>
                        <w:t>гидролизуются.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114300" distL="114300" distR="114300" simplePos="0" relativeHeight="125829392" behindDoc="0" locked="0" layoutInCell="1" allowOverlap="1">
            <wp:simplePos x="0" y="0"/>
            <wp:positionH relativeFrom="page">
              <wp:posOffset>3478530</wp:posOffset>
            </wp:positionH>
            <wp:positionV relativeFrom="paragraph">
              <wp:posOffset>3732530</wp:posOffset>
            </wp:positionV>
            <wp:extent cx="1073150" cy="457200"/>
            <wp:wrapTopAndBottom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07315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</w:rPr>
        <w:t>KIMYO FANLARINI O‘QITISHNING NAZARIYASI VA</w:t>
        <w:br/>
        <w:t>METODLARI</w:t>
      </w:r>
      <w:bookmarkEnd w:id="7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59" w:lineRule="auto"/>
        <w:ind w:left="3800" w:right="8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“Kimyo fanining muammolari, sanoat sohalariga</w:t>
        <w:br/>
        <w:t>tatbiqi vayashil texnologiyalar mavzusidagi xalqaro anjumani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Об1ци$свойства Нитрать), сульфатьги</w:t>
        <w:br/>
        <w:t>хлоридь) катионов пятой аналитической</w:t>
        <w:br/>
        <w:t>группь! хорошо растворимь! в воде. Их</w:t>
        <w:br/>
        <w:t>гидроксидь) являются слабмми</w:t>
        <w:br/>
        <w:t>электролитами и не растворяются в</w:t>
        <w:br/>
        <w:t>воде. Они также нерастворимь) в</w:t>
        <w:br/>
        <w:t>больших количествах цделочи и</w:t>
        <w:br/>
        <w:t>аммиака и по этим свойствам</w:t>
        <w:br/>
        <w:t>отличаются от катионов 4-й</w:t>
        <w:br/>
        <w:t>аналитической группьь Осадителем</w:t>
        <w:br/>
        <w:t xml:space="preserve">катионов этой группм является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NaOH.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10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Результатьь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Качество программьт будет зависеть не только от того, насколько</w:t>
        <w:br/>
        <w:t>объективно хорошо разработаньт все перечисленньте основания, но и от того, насколько</w:t>
        <w:br/>
        <w:t>хорошо автор владеет содержанием их содержанием и может воспользоваться ими при</w:t>
        <w:br/>
        <w:t>разработке программ Эффективность деятельности и мотивация учашцхся сугцественно</w:t>
        <w:br/>
        <w:t>определяется степе нью новизнм знаний по отношению к уже усвоеннмм ранее. Особенно</w:t>
        <w:br/>
        <w:t>важно добиться новиз ньт при проектировании дополнительньтх курсов по внбору. Без этого</w:t>
        <w:br/>
        <w:t>не будет возникать нуж ного интереса к изучению предлагаемого материала. Следуютцим</w:t>
        <w:br/>
        <w:t>после определения содержания этапом разработки программьт являет ся отбор методов</w:t>
        <w:br/>
        <w:t>обучения. Определение методов осушествляется в соответствии с целями и содержанием</w:t>
        <w:br/>
        <w:t>подготовки, а также логикой его развертмвания в программе. Помимо это го, внбор методов</w:t>
        <w:br/>
        <w:t>обусловливается условиями, временем протекания процесса обучения, особенностями</w:t>
        <w:br/>
        <w:t>индивидуального стиля преподавания и восприимчивостью обучаютцихся. Так, цели</w:t>
        <w:br/>
        <w:t>профильной подготовки диктуют использование активнмх методов обучения, но недостаток</w:t>
        <w:br/>
        <w:t>времени, на котормй рассчитан курс, могут препятствовать их использованию.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Заключение.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Таким образом, чтобм разработать программу необходимо вьшолнить</w:t>
        <w:br/>
        <w:t>ряд взаимо связаннмх между собой и взаимообусловленнмх действий. В учебном процессе</w:t>
        <w:br/>
        <w:t>бьтли разработанн методические материальт по химии с использованием интерактивнмх</w:t>
        <w:br/>
        <w:t>методов для развития научной грамотности учатцихся.Бьш усовершенствован алгоритм</w:t>
        <w:br/>
        <w:t>разработки и применения инновационннх технологий преподавания предмета «Химия», а</w:t>
        <w:br/>
        <w:t>также создана методика обучения химии с использованием интерактивньгх методов для</w:t>
        <w:br/>
        <w:t>студентов учебннх заведений.В ходе учебного процесса бмли изученм различнме</w:t>
        <w:br/>
        <w:t>интерактивнме методм, освоенм такие понятия, как правильная интерпретация, вьшолнение</w:t>
        <w:br/>
        <w:t>заданий и их научное обоснование.Рекомендации по результатам исследования:</w:t>
        <w:br/>
        <w:t>Рекомендуется использоватъ интерактивнме методм в преподавании химии в</w:t>
        <w:br/>
        <w:t>обюеобразовательнмх учреждениях.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СПИСОК ЛИТЕРАТУРЬ!: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5" w:val="left"/>
        </w:tabs>
        <w:bidi w:val="0"/>
        <w:spacing w:before="0" w:after="100"/>
        <w:ind w:left="0" w:right="0" w:firstLine="600"/>
        <w:jc w:val="both"/>
        <w:sectPr>
          <w:headerReference w:type="default" r:id="rId23"/>
          <w:footerReference w:type="default" r:id="rId24"/>
          <w:footnotePr>
            <w:pos w:val="pageBottom"/>
            <w:numFmt w:val="decimal"/>
            <w:numRestart w:val="continuous"/>
          </w:footnotePr>
          <w:pgSz w:w="11900" w:h="16840"/>
          <w:pgMar w:top="867" w:right="1065" w:bottom="1165" w:left="11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Габриелян, О.С. Теория и практика элективнмх курсов// Химия в школе.-2006.- №4,-</w:t>
        <w:br/>
        <w:t>С.2-4.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5016" w:val="left"/>
          <w:tab w:leader="underscore" w:pos="9038" w:val="left"/>
        </w:tabs>
        <w:bidi w:val="0"/>
        <w:spacing w:before="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Звягина,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A.C.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Предпрофильная подготовка по химии в форме элективного курса//</w:t>
        <w:br/>
        <w:t>Химия.-2007.-№6,- С. 9-13.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Аршанский, Е.Я. Предпрофильная подготовка учагцихся основной школьг по хи мии//</w:t>
        <w:br/>
        <w:t>Химия.-2006.-№18.- С.4-11.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Афанасьева, Т.П. Элективнме курсн в системе предпрофильной подготовки и про</w:t>
        <w:br/>
        <w:t>фильного обучения: Методическое пособие/Под ред. Н.В.Немовой/ Т.П.Афанасьева,</w:t>
        <w:br/>
        <w:t>Н.В.Немова, Н.Я.Стрельцова, А.Н.Томазова.-М.:АПКиППРО, 2005.-78с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Ермаков, Д.С. Разработка элективнмх курсов по химии/ Д.С.Ермаков,</w:t>
        <w:br/>
        <w:t>Ю.Д.Муравлянская, Т.И.Рь1бкина //Химия.-2006, №11.- С.23-26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4" w:val="left"/>
        </w:tabs>
        <w:bidi w:val="0"/>
        <w:spacing w:before="0" w:after="28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О.В. Кусакина, М.С. Плотникова, Е.А. Жарикова, Т.И. Рнбкина /Методика</w:t>
        <w:br/>
        <w:t>разработки элективнмх курсов по химии для профильного обучения/Успехи в химии и</w:t>
        <w:br/>
        <w:t xml:space="preserve">химической технологии. том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XXIL2008.№2(82)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FANINIINGLIZ TILI BILAN INTEGRATSIYALASH</w:t>
      </w:r>
      <w:bookmarkEnd w:id="9"/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Zahidova Aziza Azimovna, Yusupova Muxabbat Anatolevna</w:t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Chirchiq davlat pedagogika universiteti</w:t>
      </w:r>
      <w:bookmarkEnd w:id="11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Annotatsiya.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Maqola kimyoni o‘qitish metodologiyasida dolzarb va etarlicha ishlab</w:t>
        <w:br/>
        <w:t>chiqihnagan kimyo va chet tilining fanlararo integratsiyasi muammosiga bag‘ishlangan. Muallif</w:t>
        <w:br/>
        <w:t>"kimyo" va "ingliz tili"fanlarining fanlararo integratsiyasini amalga oshirishning didaktik shartlari,</w:t>
        <w:br/>
        <w:t>shakllari va usullarini ko‘rib chiqdi.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Kalit so‘zlar: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o‘qitish metodikasi, fanlararo aloqalar, integratsiyalashgan darslar,</w:t>
        <w:br/>
        <w:t>kimyogarlar uchun ingliz tili.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280" w:line="264" w:lineRule="auto"/>
        <w:ind w:left="0" w:right="0" w:firstLine="560"/>
        <w:jc w:val="both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ПРЕПОДОВАНИЕ АНГЛИЙСКОГО ЯЗБ1КА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ИНТЕГРАЦИИ С ХИМИЕЙ</w:t>
      </w:r>
      <w:bookmarkEnd w:id="13"/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Захидова Азиза Азимовна, Юсупова Мухабат Анатольевна</w:t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Чирчикский государственннй педагогический университет</w:t>
      </w:r>
      <w:bookmarkEnd w:id="15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Аннотация.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Статья посвяшсна актуальной и недостаточно разработанной в методике</w:t>
        <w:br/>
        <w:t>преподавания химии проблеме межпредметной интеграции химии и иностранного язмка.</w:t>
        <w:br/>
        <w:t>Автором рассмотренм дидактические условия, формм и методм осушествления</w:t>
        <w:br/>
        <w:t>межпредметной интеграции учебнмх дисциплин «химия» и «английский язмк».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Ключевме слова: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методика преподавания химии, межпредметнме связи,</w:t>
        <w:br/>
        <w:t>интегрированнме уроки, английский язнк для химиков.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Kirish. So‘nggi paytlarda fanlararo g‘oyalar juda dolzarb bo‘lib qoldi. Hmiy tadqiqotlar</w:t>
        <w:br/>
        <w:t>ko‘plab masalalami ko‘rib chiqadi, arnrno kimyoviy ta’limi, kimyo darslarida chet tilidan</w:t>
        <w:br/>
        <w:t>foydalanishning faqat ayrim jihatlarini aks ettiradi, asosan chet tillari bilan kimyo integratsiya orqali</w:t>
        <w:br/>
        <w:t>talabalaming til madaniyati elementlarini shakllantirish bilan bog‘liq.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Bugungi kunda talabalaming barchasi global Intemetning faol foydalanuvchilari deb aytsak</w:t>
        <w:br/>
        <w:t>mubolag‘a bo‘lmaydi, chunki ular media ta'limi asoslarini, shu jumladan aloqa va turli tillarda</w:t>
        <w:br/>
        <w:t>ma'lumotlardan foydalanish ko‘nikmalari va tajribalarini shakllantirishni talab qiladi. Shunday qilib,</w:t>
        <w:br/>
        <w:t>zamonaviy talabaning intellectual qobiliyati chet tilining kommunikativ imkoniyatlaridan</w:t>
        <w:br/>
        <w:t>foydalangan holda kimyoni o‘rganishda ajralmas omil sifatida qaralishi lozim.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Biz oldimizga qo‘yilgan vazifalami hal qilish uchun quyidagi uslubiu-tadqiqot usullari</w:t>
        <w:br/>
        <w:t>qo‘lladik, ularga: nazariy-tizimli-tarkibiy yondashuv, tadqiqot muammosi bo‘yicha ruxiy, pedagogik</w:t>
        <w:br/>
        <w:t>va uslubiy adabiyotlami tahlil qilish, ingliz tili bilan integratsiya sharoitida talabalar tomonidan</w:t>
        <w:br/>
        <w:t>kimyoni o‘rganish modelini ishlab chiqish; eksperimental: o‘qituvchilaming ish tajribasini o‘rganish,</w:t>
        <w:br/>
        <w:t>talabalar va o‘qituvchilar bilan suhbatlar, o‘qituvchilar va talabalar o‘rtasida so'rovnoma, qidimv va</w:t>
        <w:br/>
        <w:t>1909</w:t>
      </w:r>
    </w:p>
    <w:sectPr>
      <w:headerReference w:type="default" r:id="rId25"/>
      <w:footerReference w:type="default" r:id="rId26"/>
      <w:footnotePr>
        <w:pos w:val="pageBottom"/>
        <w:numFmt w:val="decimal"/>
        <w:numRestart w:val="continuous"/>
      </w:footnotePr>
      <w:pgSz w:w="11900" w:h="16840"/>
      <w:pgMar w:top="865" w:right="1057" w:bottom="865" w:left="1100" w:header="0" w:footer="43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9952355</wp:posOffset>
              </wp:positionV>
              <wp:extent cx="286385" cy="10985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63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1906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287.30000000000001pt;margin-top:783.64999999999998pt;width:22.550000000000001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1906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9952355</wp:posOffset>
              </wp:positionV>
              <wp:extent cx="283210" cy="1098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1907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7.30000000000001pt;margin-top:783.64999999999998pt;width:22.300000000000001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1907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9953625</wp:posOffset>
              </wp:positionV>
              <wp:extent cx="283210" cy="10985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3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1908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87.5pt;margin-top:783.75pt;width:22.300000000000001pt;height:8.6500000000000004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1908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652780</wp:posOffset>
              </wp:positionV>
              <wp:extent cx="770890" cy="12192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08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4.900000000000006pt;margin-top:51.399999999999999pt;width:60.700000000000003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935990</wp:posOffset>
              </wp:positionV>
              <wp:extent cx="599567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95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49999999999999pt;margin-top:73.700000000000003pt;width:47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652780</wp:posOffset>
              </wp:positionV>
              <wp:extent cx="770890" cy="12192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08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74.900000000000006pt;margin-top:51.399999999999999pt;width:60.700000000000003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935990</wp:posOffset>
              </wp:positionV>
              <wp:extent cx="599567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95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149999999999999pt;margin-top:73.700000000000003pt;width:47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699135</wp:posOffset>
              </wp:positionH>
              <wp:positionV relativeFrom="page">
                <wp:posOffset>512445</wp:posOffset>
              </wp:positionV>
              <wp:extent cx="182880" cy="45720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880" cy="457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182880" cy="457200"/>
                                <wp:docPr id="46" name="Picutre 4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Picture 4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182880" cy="45720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55.050000000000004pt;margin-top:40.350000000000001pt;width:14.4pt;height:36.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82880" cy="457200"/>
                          <wp:docPr id="48" name="Picutre 4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Picture 4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182880" cy="4572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1747520</wp:posOffset>
              </wp:positionH>
              <wp:positionV relativeFrom="page">
                <wp:posOffset>515620</wp:posOffset>
              </wp:positionV>
              <wp:extent cx="313690" cy="45402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3690" cy="454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16865" cy="457200"/>
                                <wp:docPr id="50" name="Picutre 5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" name="Picture 50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316865" cy="45720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37.59999999999999pt;margin-top:40.600000000000001pt;width:24.699999999999999pt;height:35.75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16865" cy="457200"/>
                          <wp:docPr id="52" name="Picutre 5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52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316865" cy="45720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654050</wp:posOffset>
              </wp:positionV>
              <wp:extent cx="774065" cy="12192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5.100000000000009pt;margin-top:51.5pt;width:60.950000000000003pt;height:9.59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1765300</wp:posOffset>
              </wp:positionH>
              <wp:positionV relativeFrom="page">
                <wp:posOffset>537210</wp:posOffset>
              </wp:positionV>
              <wp:extent cx="280670" cy="40830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408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80670" cy="408305"/>
                                <wp:docPr id="58" name="Picutre 5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Picture 5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80670" cy="408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position:absolute;margin-left:139.pt;margin-top:42.300000000000004pt;width:22.100000000000001pt;height:32.149999999999999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80670" cy="408305"/>
                          <wp:docPr id="60" name="Picutre 6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" name="Picture 6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80670" cy="408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652780</wp:posOffset>
              </wp:positionV>
              <wp:extent cx="770890" cy="12192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08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74.900000000000006pt;margin-top:51.399999999999999pt;width:60.700000000000003pt;height:9.5999999999999996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z-UZ" w:eastAsia="uz-UZ" w:bidi="uz-U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customStyle="1" w:styleId="CharStyle3">
    <w:name w:val="Body text (4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uz-UZ" w:eastAsia="uz-UZ" w:bidi="uz-UZ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lang w:val="uz-UZ" w:eastAsia="uz-UZ" w:bidi="uz-UZ"/>
    </w:rPr>
  </w:style>
  <w:style w:type="character" w:customStyle="1" w:styleId="CharStyle8">
    <w:name w:val="Body text (6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uz-UZ" w:eastAsia="uz-UZ" w:bidi="uz-UZ"/>
    </w:rPr>
  </w:style>
  <w:style w:type="character" w:customStyle="1" w:styleId="CharStyle10">
    <w:name w:val="Heading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uz-UZ" w:eastAsia="uz-UZ" w:bidi="uz-UZ"/>
    </w:rPr>
  </w:style>
  <w:style w:type="character" w:customStyle="1" w:styleId="CharStyle12">
    <w:name w:val="Heading #3_"/>
    <w:basedOn w:val="DefaultParagraphFont"/>
    <w:link w:val="Style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uz-UZ" w:eastAsia="uz-UZ" w:bidi="uz-UZ"/>
    </w:rPr>
  </w:style>
  <w:style w:type="character" w:customStyle="1" w:styleId="CharStyle15">
    <w:name w:val="Body text (2)_"/>
    <w:basedOn w:val="DefaultParagraphFont"/>
    <w:link w:val="Styl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uz-UZ" w:eastAsia="uz-UZ" w:bidi="uz-UZ"/>
    </w:rPr>
  </w:style>
  <w:style w:type="character" w:customStyle="1" w:styleId="CharStyle17">
    <w:name w:val="Body text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Header or footer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UZ" w:eastAsia="uz-UZ" w:bidi="uz-UZ"/>
    </w:rPr>
  </w:style>
  <w:style w:type="character" w:customStyle="1" w:styleId="CharStyle28">
    <w:name w:val="Picture caption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uz-UZ" w:eastAsia="uz-UZ" w:bidi="uz-UZ"/>
    </w:rPr>
  </w:style>
  <w:style w:type="character" w:customStyle="1" w:styleId="CharStyle31">
    <w:name w:val="Body text (5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uz-UZ" w:eastAsia="uz-UZ" w:bidi="uz-UZ"/>
    </w:rPr>
  </w:style>
  <w:style w:type="character" w:customStyle="1" w:styleId="CharStyle33">
    <w:name w:val="Body text (3)_"/>
    <w:basedOn w:val="DefaultParagraphFont"/>
    <w:link w:val="Style32"/>
    <w:rPr>
      <w:rFonts w:ascii="Calibri" w:eastAsia="Calibri" w:hAnsi="Calibri" w:cs="Calibri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35">
    <w:name w:val="Heading #4_"/>
    <w:basedOn w:val="DefaultParagraphFont"/>
    <w:link w:val="Styl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Body text (4)"/>
    <w:basedOn w:val="Normal"/>
    <w:link w:val="CharStyle3"/>
    <w:pPr>
      <w:widowControl w:val="0"/>
      <w:shd w:val="clear" w:color="auto" w:fill="auto"/>
      <w:spacing w:after="160"/>
      <w:ind w:firstLine="27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uz-UZ" w:eastAsia="uz-UZ" w:bidi="uz-UZ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ind w:firstLine="2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lang w:val="uz-UZ" w:eastAsia="uz-UZ" w:bidi="uz-UZ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auto"/>
      <w:spacing w:after="220"/>
      <w:ind w:left="5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uz-UZ" w:eastAsia="uz-UZ" w:bidi="uz-UZ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auto"/>
      <w:spacing w:after="800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uz-UZ" w:eastAsia="uz-UZ" w:bidi="uz-UZ"/>
    </w:rPr>
  </w:style>
  <w:style w:type="paragraph" w:customStyle="1" w:styleId="Style11">
    <w:name w:val="Heading #3"/>
    <w:basedOn w:val="Normal"/>
    <w:link w:val="CharStyle12"/>
    <w:pPr>
      <w:widowControl w:val="0"/>
      <w:shd w:val="clear" w:color="auto" w:fill="auto"/>
      <w:spacing w:line="250" w:lineRule="auto"/>
      <w:ind w:firstLine="330"/>
      <w:outlineLvl w:val="2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lang w:val="uz-UZ" w:eastAsia="uz-UZ" w:bidi="uz-UZ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auto"/>
      <w:spacing w:after="120"/>
      <w:ind w:left="25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uz-UZ" w:eastAsia="uz-UZ" w:bidi="uz-UZ"/>
    </w:rPr>
  </w:style>
  <w:style w:type="paragraph" w:styleId="Style16">
    <w:name w:val="Body text"/>
    <w:basedOn w:val="Normal"/>
    <w:link w:val="CharStyle17"/>
    <w:qFormat/>
    <w:pPr>
      <w:widowControl w:val="0"/>
      <w:shd w:val="clear" w:color="auto" w:fill="auto"/>
      <w:spacing w:line="26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Header or footer (2)"/>
    <w:basedOn w:val="Normal"/>
    <w:link w:val="CharStyle2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z-UZ" w:eastAsia="uz-UZ" w:bidi="uz-UZ"/>
    </w:rPr>
  </w:style>
  <w:style w:type="paragraph" w:customStyle="1" w:styleId="Style27">
    <w:name w:val="Picture caption"/>
    <w:basedOn w:val="Normal"/>
    <w:link w:val="CharStyle28"/>
    <w:pPr>
      <w:widowControl w:val="0"/>
      <w:shd w:val="clear" w:color="auto" w:fill="auto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uz-UZ" w:eastAsia="uz-UZ" w:bidi="uz-UZ"/>
    </w:rPr>
  </w:style>
  <w:style w:type="paragraph" w:customStyle="1" w:styleId="Style30">
    <w:name w:val="Body text (5)"/>
    <w:basedOn w:val="Normal"/>
    <w:link w:val="CharStyle3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uz-UZ" w:eastAsia="uz-UZ" w:bidi="uz-UZ"/>
    </w:rPr>
  </w:style>
  <w:style w:type="paragraph" w:customStyle="1" w:styleId="Style32">
    <w:name w:val="Body text (3)"/>
    <w:basedOn w:val="Normal"/>
    <w:link w:val="CharStyle33"/>
    <w:pPr>
      <w:widowControl w:val="0"/>
      <w:shd w:val="clear" w:color="auto" w:fill="auto"/>
      <w:spacing w:after="740" w:line="233" w:lineRule="auto"/>
      <w:ind w:left="400"/>
    </w:pPr>
    <w:rPr>
      <w:rFonts w:ascii="Calibri" w:eastAsia="Calibri" w:hAnsi="Calibri" w:cs="Calibri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34">
    <w:name w:val="Heading #4"/>
    <w:basedOn w:val="Normal"/>
    <w:link w:val="CharStyle35"/>
    <w:pPr>
      <w:widowControl w:val="0"/>
      <w:shd w:val="clear" w:color="auto" w:fill="auto"/>
      <w:spacing w:line="262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5.pn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8.jpeg" TargetMode="External"/><Relationship Id="rId3" Type="http://schemas.openxmlformats.org/officeDocument/2006/relationships/image" Target="media/image9.jpeg"/><Relationship Id="rId4" Type="http://schemas.openxmlformats.org/officeDocument/2006/relationships/image" Target="media/image9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NamDTU_KONF_2025.pdf</dc:title>
  <dc:subject/>
  <dc:creator/>
  <cp:keywords/>
</cp:coreProperties>
</file>